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D8" w:rsidRPr="00082DD8" w:rsidRDefault="00082DD8" w:rsidP="00F03FFD">
      <w:pPr>
        <w:autoSpaceDE w:val="0"/>
        <w:autoSpaceDN w:val="0"/>
        <w:adjustRightInd w:val="0"/>
        <w:jc w:val="center"/>
        <w:rPr>
          <w:rFonts w:ascii="標楷體" w:eastAsia="標楷體" w:hAnsi="標楷體" w:cs="HiddenHorzOCR"/>
          <w:b/>
          <w:kern w:val="0"/>
          <w:sz w:val="36"/>
          <w:szCs w:val="36"/>
        </w:rPr>
      </w:pPr>
      <w:bookmarkStart w:id="0" w:name="_GoBack"/>
      <w:r w:rsidRPr="00082DD8">
        <w:rPr>
          <w:rFonts w:ascii="標楷體" w:eastAsia="標楷體" w:hAnsi="標楷體" w:cs="HiddenHorzOCR" w:hint="eastAsia"/>
          <w:b/>
          <w:kern w:val="0"/>
          <w:sz w:val="36"/>
          <w:szCs w:val="36"/>
        </w:rPr>
        <w:t>利益衝突迴避聲明書</w:t>
      </w:r>
    </w:p>
    <w:bookmarkEnd w:id="0"/>
    <w:p w:rsidR="00082DD8" w:rsidRDefault="00082DD8" w:rsidP="00F03FFD">
      <w:pPr>
        <w:autoSpaceDE w:val="0"/>
        <w:autoSpaceDN w:val="0"/>
        <w:adjustRightInd w:val="0"/>
        <w:rPr>
          <w:rFonts w:ascii="標楷體" w:eastAsia="標楷體" w:hAnsi="標楷體" w:cs="HiddenHorzOCR"/>
          <w:kern w:val="0"/>
          <w:sz w:val="28"/>
          <w:szCs w:val="28"/>
        </w:rPr>
      </w:pPr>
    </w:p>
    <w:p w:rsidR="00082DD8" w:rsidRPr="00082DD8" w:rsidRDefault="00082DD8" w:rsidP="00F03FFD">
      <w:pPr>
        <w:autoSpaceDE w:val="0"/>
        <w:autoSpaceDN w:val="0"/>
        <w:adjustRightInd w:val="0"/>
        <w:rPr>
          <w:rFonts w:ascii="標楷體" w:eastAsia="標楷體" w:hAnsi="標楷體" w:cs="HiddenHorzOCR"/>
          <w:kern w:val="0"/>
          <w:sz w:val="28"/>
          <w:szCs w:val="28"/>
        </w:rPr>
      </w:pPr>
      <w:r w:rsidRPr="00082DD8">
        <w:rPr>
          <w:rFonts w:ascii="標楷體" w:eastAsia="標楷體" w:hAnsi="標楷體" w:cs="HiddenHorzOCR" w:hint="eastAsia"/>
          <w:kern w:val="0"/>
          <w:sz w:val="28"/>
          <w:szCs w:val="28"/>
        </w:rPr>
        <w:t>本人執行</w:t>
      </w:r>
      <w:r w:rsidR="00633849">
        <w:rPr>
          <w:rFonts w:ascii="標楷體" w:eastAsia="標楷體" w:hAnsi="標楷體" w:cs="HiddenHorzOCR" w:hint="eastAsia"/>
          <w:kern w:val="0"/>
          <w:sz w:val="28"/>
          <w:szCs w:val="28"/>
        </w:rPr>
        <w:t>行</w:t>
      </w:r>
      <w:r w:rsidR="00B90813">
        <w:rPr>
          <w:rFonts w:ascii="標楷體" w:eastAsia="標楷體" w:hAnsi="標楷體" w:cs="HiddenHorzOCR" w:hint="eastAsia"/>
          <w:kern w:val="0"/>
          <w:sz w:val="28"/>
          <w:szCs w:val="28"/>
        </w:rPr>
        <w:t>______________________</w:t>
      </w:r>
      <w:r w:rsidRPr="00082DD8">
        <w:rPr>
          <w:rFonts w:ascii="標楷體" w:eastAsia="標楷體" w:hAnsi="標楷體" w:cs="HiddenHorzOCR" w:hint="eastAsia"/>
          <w:kern w:val="0"/>
          <w:sz w:val="28"/>
          <w:szCs w:val="28"/>
        </w:rPr>
        <w:t>「</w:t>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sidR="00B90813">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w:t>
      </w:r>
      <w:r w:rsidRPr="00082DD8">
        <w:rPr>
          <w:rFonts w:ascii="標楷體" w:eastAsia="標楷體" w:hAnsi="標楷體" w:cs="HiddenHorzOCR" w:hint="eastAsia"/>
          <w:kern w:val="0"/>
          <w:sz w:val="28"/>
          <w:szCs w:val="28"/>
        </w:rPr>
        <w:t>研究計畫，依「中央研究院接受各機關</w:t>
      </w:r>
      <w:r w:rsidRPr="00082DD8">
        <w:rPr>
          <w:rFonts w:ascii="標楷體" w:eastAsia="標楷體" w:hAnsi="標楷體" w:cs="HiddenHorzOCR"/>
          <w:kern w:val="0"/>
          <w:sz w:val="28"/>
          <w:szCs w:val="28"/>
        </w:rPr>
        <w:t>(</w:t>
      </w:r>
      <w:r w:rsidRPr="00082DD8">
        <w:rPr>
          <w:rFonts w:ascii="標楷體" w:eastAsia="標楷體" w:hAnsi="標楷體" w:cs="HiddenHorzOCR" w:hint="eastAsia"/>
          <w:kern w:val="0"/>
          <w:sz w:val="28"/>
          <w:szCs w:val="28"/>
        </w:rPr>
        <w:t>構</w:t>
      </w:r>
      <w:r w:rsidRPr="00082DD8">
        <w:rPr>
          <w:rFonts w:ascii="標楷體" w:eastAsia="標楷體" w:hAnsi="標楷體" w:cs="HiddenHorzOCR"/>
          <w:kern w:val="0"/>
          <w:sz w:val="28"/>
          <w:szCs w:val="28"/>
        </w:rPr>
        <w:t>)</w:t>
      </w:r>
      <w:r w:rsidRPr="00082DD8">
        <w:rPr>
          <w:rFonts w:ascii="標楷體" w:eastAsia="標楷體" w:hAnsi="標楷體" w:cs="HiddenHorzOCR" w:hint="eastAsia"/>
          <w:kern w:val="0"/>
          <w:sz w:val="28"/>
          <w:szCs w:val="28"/>
        </w:rPr>
        <w:t>委託或合作研究計畫作業要點』第</w:t>
      </w:r>
      <w:r w:rsidRPr="00082DD8">
        <w:rPr>
          <w:rFonts w:ascii="標楷體" w:eastAsia="標楷體" w:hAnsi="標楷體" w:cs="HiddenHorzOCR"/>
          <w:kern w:val="0"/>
          <w:sz w:val="28"/>
          <w:szCs w:val="28"/>
        </w:rPr>
        <w:t xml:space="preserve">4 </w:t>
      </w:r>
      <w:r w:rsidRPr="00082DD8">
        <w:rPr>
          <w:rFonts w:ascii="標楷體" w:eastAsia="標楷體" w:hAnsi="標楷體" w:cs="HiddenHorzOCR" w:hint="eastAsia"/>
          <w:kern w:val="0"/>
          <w:sz w:val="28"/>
          <w:szCs w:val="28"/>
        </w:rPr>
        <w:t>點</w:t>
      </w:r>
      <w:r>
        <w:rPr>
          <w:rFonts w:ascii="標楷體" w:eastAsia="標楷體" w:hAnsi="標楷體" w:cs="HiddenHorzOCR" w:hint="eastAsia"/>
          <w:kern w:val="0"/>
          <w:sz w:val="28"/>
          <w:szCs w:val="28"/>
        </w:rPr>
        <w:t>:</w:t>
      </w:r>
      <w:r w:rsidRPr="00082DD8">
        <w:rPr>
          <w:rFonts w:ascii="標楷體" w:eastAsia="標楷體" w:hAnsi="標楷體" w:cs="HiddenHorzOCR" w:hint="eastAsia"/>
          <w:kern w:val="0"/>
          <w:sz w:val="28"/>
          <w:szCs w:val="28"/>
        </w:rPr>
        <w:t>有關利益衝突迴避及揭露事宜。在詳細</w:t>
      </w:r>
      <w:r w:rsidRPr="00082DD8">
        <w:rPr>
          <w:rFonts w:ascii="標楷體" w:eastAsia="標楷體" w:hAnsi="標楷體" w:cs="細明體" w:hint="eastAsia"/>
          <w:kern w:val="0"/>
          <w:sz w:val="28"/>
          <w:szCs w:val="28"/>
        </w:rPr>
        <w:t>閱</w:t>
      </w:r>
      <w:r w:rsidRPr="00082DD8">
        <w:rPr>
          <w:rFonts w:ascii="標楷體" w:eastAsia="標楷體" w:hAnsi="標楷體" w:cs="MS Mincho" w:hint="eastAsia"/>
          <w:kern w:val="0"/>
          <w:sz w:val="28"/>
          <w:szCs w:val="28"/>
        </w:rPr>
        <w:t>讀『中</w:t>
      </w:r>
    </w:p>
    <w:p w:rsidR="00082DD8" w:rsidRPr="00082DD8" w:rsidRDefault="00082DD8" w:rsidP="00F03FFD">
      <w:pPr>
        <w:autoSpaceDE w:val="0"/>
        <w:autoSpaceDN w:val="0"/>
        <w:adjustRightInd w:val="0"/>
        <w:rPr>
          <w:rFonts w:ascii="標楷體" w:eastAsia="標楷體" w:hAnsi="標楷體" w:cs="HiddenHorzOCR"/>
          <w:kern w:val="0"/>
          <w:sz w:val="28"/>
          <w:szCs w:val="28"/>
        </w:rPr>
      </w:pPr>
      <w:r w:rsidRPr="00082DD8">
        <w:rPr>
          <w:rFonts w:ascii="標楷體" w:eastAsia="標楷體" w:hAnsi="標楷體" w:cs="HiddenHorzOCR" w:hint="eastAsia"/>
          <w:kern w:val="0"/>
          <w:sz w:val="28"/>
          <w:szCs w:val="28"/>
        </w:rPr>
        <w:t>央研究院科技移轉利益衝突迴避處理原則』後，本人在此聲</w:t>
      </w:r>
    </w:p>
    <w:p w:rsidR="00082DD8" w:rsidRPr="00082DD8" w:rsidRDefault="00082DD8" w:rsidP="00F03FFD">
      <w:pPr>
        <w:autoSpaceDE w:val="0"/>
        <w:autoSpaceDN w:val="0"/>
        <w:adjustRightInd w:val="0"/>
        <w:rPr>
          <w:rFonts w:ascii="標楷體" w:eastAsia="標楷體" w:hAnsi="標楷體" w:cs="HiddenHorzOCR"/>
          <w:kern w:val="0"/>
          <w:sz w:val="28"/>
          <w:szCs w:val="28"/>
        </w:rPr>
      </w:pPr>
      <w:r w:rsidRPr="00082DD8">
        <w:rPr>
          <w:rFonts w:ascii="標楷體" w:eastAsia="標楷體" w:hAnsi="標楷體" w:cs="HiddenHorzOCR" w:hint="eastAsia"/>
          <w:kern w:val="0"/>
          <w:sz w:val="28"/>
          <w:szCs w:val="28"/>
        </w:rPr>
        <w:t>明</w:t>
      </w:r>
      <w:r w:rsidRPr="00082DD8">
        <w:rPr>
          <w:rFonts w:ascii="標楷體" w:eastAsia="標楷體" w:hAnsi="標楷體" w:cs="HiddenHorzOCR"/>
          <w:kern w:val="0"/>
          <w:sz w:val="28"/>
          <w:szCs w:val="28"/>
        </w:rPr>
        <w:t>:</w:t>
      </w:r>
      <w:r>
        <w:rPr>
          <w:rFonts w:ascii="標楷體" w:eastAsia="標楷體" w:hAnsi="標楷體" w:cs="HiddenHorzOCR" w:hint="eastAsia"/>
          <w:kern w:val="0"/>
          <w:sz w:val="28"/>
          <w:szCs w:val="28"/>
        </w:rPr>
        <w:t>『本</w:t>
      </w:r>
      <w:r w:rsidRPr="00082DD8">
        <w:rPr>
          <w:rFonts w:ascii="標楷體" w:eastAsia="標楷體" w:hAnsi="標楷體" w:cs="HiddenHorzOCR" w:hint="eastAsia"/>
          <w:kern w:val="0"/>
          <w:sz w:val="28"/>
          <w:szCs w:val="28"/>
        </w:rPr>
        <w:t>人無潛在之利益衝突事項需揭露』。</w:t>
      </w:r>
    </w:p>
    <w:p w:rsidR="00082DD8" w:rsidRDefault="00082DD8" w:rsidP="00082DD8">
      <w:pPr>
        <w:autoSpaceDE w:val="0"/>
        <w:autoSpaceDN w:val="0"/>
        <w:adjustRightInd w:val="0"/>
        <w:rPr>
          <w:rFonts w:ascii="標楷體" w:eastAsia="標楷體" w:hAnsi="標楷體" w:cs="HiddenHorzOCR"/>
          <w:kern w:val="0"/>
          <w:sz w:val="28"/>
          <w:szCs w:val="28"/>
        </w:rPr>
      </w:pPr>
    </w:p>
    <w:p w:rsidR="00B90813" w:rsidRDefault="00B90813" w:rsidP="00082DD8">
      <w:pPr>
        <w:autoSpaceDE w:val="0"/>
        <w:autoSpaceDN w:val="0"/>
        <w:adjustRightInd w:val="0"/>
        <w:rPr>
          <w:rFonts w:ascii="標楷體" w:eastAsia="標楷體" w:hAnsi="標楷體" w:cs="HiddenHorzOCR"/>
          <w:kern w:val="0"/>
          <w:sz w:val="28"/>
          <w:szCs w:val="28"/>
        </w:rPr>
      </w:pPr>
    </w:p>
    <w:p w:rsidR="00F03FFD" w:rsidRPr="00082DD8" w:rsidRDefault="00082DD8" w:rsidP="00082DD8">
      <w:pPr>
        <w:autoSpaceDE w:val="0"/>
        <w:autoSpaceDN w:val="0"/>
        <w:adjustRightInd w:val="0"/>
        <w:rPr>
          <w:rFonts w:ascii="標楷體" w:eastAsia="標楷體" w:hAnsi="標楷體" w:cs="HiddenHorzOCR"/>
          <w:kern w:val="0"/>
          <w:sz w:val="28"/>
          <w:szCs w:val="28"/>
        </w:rPr>
      </w:pPr>
      <w:r w:rsidRPr="00082DD8">
        <w:rPr>
          <w:rFonts w:ascii="標楷體" w:eastAsia="標楷體" w:hAnsi="標楷體" w:cs="HiddenHorzOCR" w:hint="eastAsia"/>
          <w:kern w:val="0"/>
          <w:sz w:val="28"/>
          <w:szCs w:val="28"/>
        </w:rPr>
        <w:t>聲明人</w:t>
      </w:r>
      <w:r w:rsidRPr="00082DD8">
        <w:rPr>
          <w:rFonts w:ascii="標楷體" w:eastAsia="標楷體" w:hAnsi="標楷體" w:cs="HiddenHorzOCR"/>
          <w:kern w:val="0"/>
          <w:sz w:val="28"/>
          <w:szCs w:val="28"/>
        </w:rPr>
        <w:t xml:space="preserve">: </w:t>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sidRPr="00082DD8">
        <w:rPr>
          <w:rFonts w:ascii="標楷體" w:eastAsia="標楷體" w:hAnsi="標楷體" w:cs="HiddenHorzOCR" w:hint="eastAsia"/>
          <w:kern w:val="0"/>
          <w:sz w:val="28"/>
          <w:szCs w:val="28"/>
        </w:rPr>
        <w:t>簽章</w:t>
      </w:r>
    </w:p>
    <w:p w:rsidR="00082DD8" w:rsidRPr="00082DD8" w:rsidRDefault="00082DD8" w:rsidP="00082DD8">
      <w:pPr>
        <w:autoSpaceDE w:val="0"/>
        <w:autoSpaceDN w:val="0"/>
        <w:adjustRightInd w:val="0"/>
        <w:rPr>
          <w:rFonts w:ascii="標楷體" w:eastAsia="標楷體" w:hAnsi="標楷體" w:cs="HiddenHorzOCR"/>
          <w:kern w:val="0"/>
          <w:sz w:val="28"/>
          <w:szCs w:val="28"/>
        </w:rPr>
      </w:pPr>
      <w:r w:rsidRPr="00082DD8">
        <w:rPr>
          <w:rFonts w:ascii="標楷體" w:eastAsia="標楷體" w:hAnsi="標楷體" w:cs="HiddenHorzOCR" w:hint="eastAsia"/>
          <w:kern w:val="0"/>
          <w:sz w:val="28"/>
          <w:szCs w:val="28"/>
        </w:rPr>
        <w:t>中華民國</w:t>
      </w:r>
      <w:r w:rsidRPr="00082DD8">
        <w:rPr>
          <w:rFonts w:ascii="標楷體" w:eastAsia="標楷體" w:hAnsi="標楷體" w:cs="HiddenHorzOCR"/>
          <w:kern w:val="0"/>
          <w:sz w:val="28"/>
          <w:szCs w:val="28"/>
        </w:rPr>
        <w:t xml:space="preserve">1 0 </w:t>
      </w:r>
      <w:r>
        <w:rPr>
          <w:rFonts w:ascii="標楷體" w:eastAsia="標楷體" w:hAnsi="標楷體" w:cs="HiddenHorzOCR" w:hint="eastAsia"/>
          <w:kern w:val="0"/>
          <w:sz w:val="28"/>
          <w:szCs w:val="28"/>
        </w:rPr>
        <w:t xml:space="preserve"> </w:t>
      </w:r>
      <w:r w:rsidRPr="00082DD8">
        <w:rPr>
          <w:rFonts w:ascii="標楷體" w:eastAsia="標楷體" w:hAnsi="標楷體" w:cs="HiddenHorzOCR" w:hint="eastAsia"/>
          <w:kern w:val="0"/>
          <w:sz w:val="28"/>
          <w:szCs w:val="28"/>
        </w:rPr>
        <w:t>之年</w:t>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sidRPr="00082DD8">
        <w:rPr>
          <w:rFonts w:ascii="標楷體" w:eastAsia="標楷體" w:hAnsi="標楷體" w:cs="HiddenHorzOCR" w:hint="eastAsia"/>
          <w:kern w:val="0"/>
          <w:sz w:val="28"/>
          <w:szCs w:val="28"/>
        </w:rPr>
        <w:t>月</w:t>
      </w:r>
      <w:r>
        <w:rPr>
          <w:rFonts w:ascii="標楷體" w:eastAsia="標楷體" w:hAnsi="標楷體" w:cs="HiddenHorzOCR" w:hint="eastAsia"/>
          <w:kern w:val="0"/>
          <w:sz w:val="28"/>
          <w:szCs w:val="28"/>
        </w:rPr>
        <w:tab/>
      </w:r>
      <w:r>
        <w:rPr>
          <w:rFonts w:ascii="標楷體" w:eastAsia="標楷體" w:hAnsi="標楷體" w:cs="HiddenHorzOCR" w:hint="eastAsia"/>
          <w:kern w:val="0"/>
          <w:sz w:val="28"/>
          <w:szCs w:val="28"/>
        </w:rPr>
        <w:tab/>
      </w:r>
      <w:r w:rsidRPr="00082DD8">
        <w:rPr>
          <w:rFonts w:ascii="標楷體" w:eastAsia="標楷體" w:hAnsi="標楷體" w:cs="HiddenHorzOCR" w:hint="eastAsia"/>
          <w:kern w:val="0"/>
          <w:sz w:val="28"/>
          <w:szCs w:val="28"/>
        </w:rPr>
        <w:t>日</w:t>
      </w:r>
    </w:p>
    <w:p w:rsidR="00514A4A" w:rsidRDefault="00514A4A">
      <w:pPr>
        <w:widowControl/>
        <w:rPr>
          <w:rFonts w:ascii="標楷體" w:eastAsia="標楷體" w:hAnsi="標楷體"/>
          <w:sz w:val="28"/>
          <w:szCs w:val="28"/>
        </w:rPr>
      </w:pPr>
      <w:r>
        <w:rPr>
          <w:rFonts w:ascii="標楷體" w:eastAsia="標楷體" w:hAnsi="標楷體"/>
          <w:sz w:val="28"/>
          <w:szCs w:val="28"/>
        </w:rPr>
        <w:br w:type="page"/>
      </w:r>
    </w:p>
    <w:p w:rsidR="00514A4A" w:rsidRDefault="00514A4A" w:rsidP="00514A4A">
      <w:pPr>
        <w:widowControl/>
        <w:spacing w:line="0" w:lineRule="atLeast"/>
        <w:jc w:val="center"/>
        <w:rPr>
          <w:rFonts w:ascii="標楷體" w:eastAsia="標楷體" w:hAnsi="標楷體"/>
          <w:b/>
          <w:color w:val="000000"/>
          <w:sz w:val="32"/>
          <w:szCs w:val="32"/>
        </w:rPr>
      </w:pPr>
      <w:r w:rsidRPr="00BF598D">
        <w:rPr>
          <w:rFonts w:ascii="標楷體" w:eastAsia="標楷體" w:hAnsi="標楷體" w:hint="eastAsia"/>
          <w:b/>
          <w:color w:val="000000"/>
          <w:sz w:val="32"/>
          <w:szCs w:val="32"/>
        </w:rPr>
        <w:lastRenderedPageBreak/>
        <w:t>中央研究院科技移轉利益衝突迴避處理原則</w:t>
      </w:r>
    </w:p>
    <w:p w:rsidR="00514A4A" w:rsidRDefault="00514A4A" w:rsidP="00514A4A">
      <w:pPr>
        <w:widowControl/>
        <w:spacing w:line="0" w:lineRule="atLeast"/>
        <w:jc w:val="right"/>
        <w:rPr>
          <w:rFonts w:ascii="標楷體" w:eastAsia="標楷體" w:hAnsi="標楷體" w:cs="Arial"/>
          <w:sz w:val="20"/>
        </w:rPr>
      </w:pPr>
    </w:p>
    <w:p w:rsidR="00514A4A" w:rsidRPr="00CB6140" w:rsidRDefault="00514A4A" w:rsidP="00514A4A">
      <w:pPr>
        <w:widowControl/>
        <w:wordWrap w:val="0"/>
        <w:spacing w:line="0" w:lineRule="atLeast"/>
        <w:jc w:val="right"/>
        <w:rPr>
          <w:rFonts w:ascii="標楷體" w:eastAsia="標楷體" w:hAnsi="標楷體" w:cs="Arial"/>
          <w:sz w:val="20"/>
        </w:rPr>
      </w:pPr>
      <w:smartTag w:uri="urn:schemas-microsoft-com:office:smarttags" w:element="chsdate">
        <w:smartTagPr>
          <w:attr w:name="Year" w:val="2012"/>
          <w:attr w:name="Month" w:val="8"/>
          <w:attr w:name="Day" w:val="14"/>
          <w:attr w:name="IsLunarDate" w:val="False"/>
          <w:attr w:name="IsROCDate" w:val="True"/>
        </w:smartTagPr>
        <w:r w:rsidRPr="00CB6140">
          <w:rPr>
            <w:rFonts w:ascii="標楷體" w:eastAsia="標楷體" w:hAnsi="標楷體" w:cs="Arial"/>
            <w:sz w:val="20"/>
          </w:rPr>
          <w:t>中華民國</w:t>
        </w:r>
        <w:r>
          <w:rPr>
            <w:rFonts w:ascii="標楷體" w:eastAsia="標楷體" w:hAnsi="標楷體" w:cs="Arial" w:hint="eastAsia"/>
            <w:sz w:val="20"/>
          </w:rPr>
          <w:t>101</w:t>
        </w:r>
        <w:r w:rsidRPr="00CB6140">
          <w:rPr>
            <w:rFonts w:ascii="標楷體" w:eastAsia="標楷體" w:hAnsi="標楷體" w:cs="Arial"/>
            <w:sz w:val="20"/>
          </w:rPr>
          <w:t>年</w:t>
        </w:r>
        <w:r>
          <w:rPr>
            <w:rFonts w:ascii="標楷體" w:eastAsia="標楷體" w:hAnsi="標楷體" w:cs="Arial" w:hint="eastAsia"/>
            <w:sz w:val="20"/>
          </w:rPr>
          <w:t>8</w:t>
        </w:r>
        <w:r w:rsidRPr="00CB6140">
          <w:rPr>
            <w:rFonts w:ascii="標楷體" w:eastAsia="標楷體" w:hAnsi="標楷體" w:cs="Arial"/>
            <w:sz w:val="20"/>
          </w:rPr>
          <w:t>月</w:t>
        </w:r>
        <w:r>
          <w:rPr>
            <w:rFonts w:ascii="標楷體" w:eastAsia="標楷體" w:hAnsi="標楷體" w:cs="Arial" w:hint="eastAsia"/>
            <w:sz w:val="20"/>
          </w:rPr>
          <w:t>14</w:t>
        </w:r>
        <w:r w:rsidRPr="00CB6140">
          <w:rPr>
            <w:rFonts w:ascii="標楷體" w:eastAsia="標楷體" w:hAnsi="標楷體" w:cs="Arial"/>
            <w:sz w:val="20"/>
          </w:rPr>
          <w:t>日</w:t>
        </w:r>
      </w:smartTag>
      <w:r>
        <w:rPr>
          <w:rFonts w:ascii="標楷體" w:eastAsia="標楷體" w:hAnsi="標楷體" w:cs="Arial" w:hint="eastAsia"/>
          <w:sz w:val="20"/>
        </w:rPr>
        <w:t>公共</w:t>
      </w:r>
      <w:r w:rsidRPr="00A5634C">
        <w:rPr>
          <w:rFonts w:ascii="標楷體" w:eastAsia="標楷體" w:hAnsi="標楷體" w:cs="Arial" w:hint="eastAsia"/>
          <w:sz w:val="20"/>
        </w:rPr>
        <w:t>字第</w:t>
      </w:r>
      <w:r w:rsidRPr="00A5634C">
        <w:rPr>
          <w:rFonts w:ascii="標楷體" w:eastAsia="標楷體" w:hAnsi="標楷體"/>
          <w:sz w:val="20"/>
        </w:rPr>
        <w:t>1010506126</w:t>
      </w:r>
      <w:r w:rsidRPr="00A5634C">
        <w:rPr>
          <w:rFonts w:ascii="標楷體" w:eastAsia="標楷體" w:hAnsi="標楷體" w:cs="Arial" w:hint="eastAsia"/>
          <w:sz w:val="20"/>
        </w:rPr>
        <w:t>號</w:t>
      </w:r>
      <w:r>
        <w:rPr>
          <w:rFonts w:ascii="標楷體" w:eastAsia="標楷體" w:hAnsi="標楷體" w:cs="Arial" w:hint="eastAsia"/>
          <w:sz w:val="20"/>
        </w:rPr>
        <w:t>函訂定</w:t>
      </w:r>
    </w:p>
    <w:p w:rsidR="00514A4A" w:rsidRPr="002A2350" w:rsidRDefault="00514A4A" w:rsidP="00514A4A"/>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tblGrid>
      <w:tr w:rsidR="00514A4A" w:rsidRPr="002A2350" w:rsidTr="00EA4F31">
        <w:tc>
          <w:tcPr>
            <w:tcW w:w="8388" w:type="dxa"/>
          </w:tcPr>
          <w:p w:rsidR="00514A4A" w:rsidRPr="00C85E54" w:rsidRDefault="00514A4A" w:rsidP="00514A4A">
            <w:pPr>
              <w:numPr>
                <w:ilvl w:val="0"/>
                <w:numId w:val="1"/>
              </w:numPr>
              <w:tabs>
                <w:tab w:val="left" w:pos="720"/>
              </w:tabs>
              <w:jc w:val="both"/>
              <w:rPr>
                <w:rFonts w:eastAsia="標楷體" w:hAnsi="標楷體"/>
                <w:color w:val="000000"/>
                <w:sz w:val="24"/>
                <w:szCs w:val="24"/>
              </w:rPr>
            </w:pPr>
            <w:r w:rsidRPr="00C85E54">
              <w:rPr>
                <w:rFonts w:ascii="標楷體" w:eastAsia="標楷體" w:hAnsi="標楷體" w:hint="eastAsia"/>
                <w:color w:val="000000"/>
                <w:sz w:val="24"/>
                <w:szCs w:val="24"/>
              </w:rPr>
              <w:t>中央研究院（以下簡稱本</w:t>
            </w:r>
            <w:r w:rsidRPr="00C85E54">
              <w:rPr>
                <w:rFonts w:ascii="標楷體" w:eastAsia="標楷體" w:hAnsi="標楷體" w:hint="eastAsia"/>
                <w:sz w:val="24"/>
                <w:szCs w:val="24"/>
              </w:rPr>
              <w:t>院）研究成果發展管理委員會(以下簡稱研管會)為辦理利益揭露及衝突迴避審議，依</w:t>
            </w:r>
            <w:r>
              <w:rPr>
                <w:rFonts w:ascii="標楷體" w:eastAsia="標楷體" w:hAnsi="標楷體" w:hint="eastAsia"/>
                <w:sz w:val="24"/>
                <w:szCs w:val="24"/>
              </w:rPr>
              <w:t>本</w:t>
            </w:r>
            <w:r w:rsidRPr="00C85E54">
              <w:rPr>
                <w:rFonts w:ascii="標楷體" w:eastAsia="標楷體" w:hAnsi="標楷體" w:hint="eastAsia"/>
                <w:sz w:val="24"/>
                <w:szCs w:val="24"/>
              </w:rPr>
              <w:t>院研究成果發展管理要點第三點訂定本原則。</w:t>
            </w:r>
          </w:p>
        </w:tc>
      </w:tr>
      <w:tr w:rsidR="00514A4A" w:rsidRPr="002A2350" w:rsidTr="00EA4F31">
        <w:tc>
          <w:tcPr>
            <w:tcW w:w="8388" w:type="dxa"/>
          </w:tcPr>
          <w:p w:rsidR="00514A4A" w:rsidRPr="002706C6" w:rsidRDefault="00514A4A" w:rsidP="00514A4A">
            <w:pPr>
              <w:numPr>
                <w:ilvl w:val="0"/>
                <w:numId w:val="1"/>
              </w:numPr>
              <w:tabs>
                <w:tab w:val="left" w:pos="720"/>
              </w:tabs>
              <w:jc w:val="both"/>
              <w:rPr>
                <w:rFonts w:ascii="標楷體" w:eastAsia="標楷體" w:hAnsi="標楷體"/>
                <w:color w:val="000000"/>
                <w:sz w:val="24"/>
                <w:szCs w:val="24"/>
              </w:rPr>
            </w:pPr>
            <w:r w:rsidRPr="002706C6">
              <w:rPr>
                <w:rFonts w:ascii="標楷體" w:eastAsia="標楷體" w:hAnsi="標楷體" w:hint="eastAsia"/>
                <w:color w:val="000000"/>
                <w:sz w:val="24"/>
                <w:szCs w:val="24"/>
              </w:rPr>
              <w:t>本原則所稱科技移轉，指將歸屬於本院之科技研發成果授權或讓與業者做產業利用，包括提供技術服務或材料。</w:t>
            </w:r>
          </w:p>
        </w:tc>
      </w:tr>
      <w:tr w:rsidR="00514A4A" w:rsidRPr="002A2350" w:rsidTr="00EA4F31">
        <w:tc>
          <w:tcPr>
            <w:tcW w:w="8388" w:type="dxa"/>
          </w:tcPr>
          <w:p w:rsidR="00514A4A" w:rsidRPr="002706C6" w:rsidRDefault="00514A4A" w:rsidP="00514A4A">
            <w:pPr>
              <w:numPr>
                <w:ilvl w:val="0"/>
                <w:numId w:val="1"/>
              </w:numPr>
              <w:tabs>
                <w:tab w:val="left" w:pos="720"/>
              </w:tabs>
              <w:jc w:val="both"/>
              <w:rPr>
                <w:rFonts w:ascii="標楷體" w:eastAsia="標楷體" w:hAnsi="標楷體"/>
                <w:color w:val="000000"/>
                <w:sz w:val="24"/>
                <w:szCs w:val="24"/>
              </w:rPr>
            </w:pPr>
            <w:r w:rsidRPr="002706C6">
              <w:rPr>
                <w:rFonts w:ascii="標楷體" w:eastAsia="標楷體" w:hAnsi="標楷體" w:hint="eastAsia"/>
                <w:color w:val="000000"/>
                <w:sz w:val="24"/>
                <w:szCs w:val="24"/>
              </w:rPr>
              <w:t>本原則</w:t>
            </w:r>
            <w:r w:rsidRPr="002706C6">
              <w:rPr>
                <w:rFonts w:ascii="標楷體" w:eastAsia="標楷體" w:hAnsi="標楷體" w:hint="eastAsia"/>
                <w:sz w:val="24"/>
                <w:szCs w:val="24"/>
              </w:rPr>
              <w:t>所稱當事人，指研發成果之創作人及</w:t>
            </w:r>
            <w:r w:rsidRPr="002706C6">
              <w:rPr>
                <w:rFonts w:ascii="標楷體" w:eastAsia="標楷體" w:hAnsi="標楷體" w:hint="eastAsia"/>
                <w:color w:val="000000"/>
                <w:sz w:val="24"/>
                <w:szCs w:val="24"/>
              </w:rPr>
              <w:t>承辦或決行其科技移轉之人員。</w:t>
            </w:r>
          </w:p>
          <w:p w:rsidR="00514A4A" w:rsidRPr="002706C6" w:rsidRDefault="00514A4A" w:rsidP="00514A4A">
            <w:pPr>
              <w:tabs>
                <w:tab w:val="left" w:pos="720"/>
              </w:tabs>
              <w:ind w:firstLineChars="257" w:firstLine="617"/>
              <w:jc w:val="both"/>
              <w:rPr>
                <w:rFonts w:ascii="標楷體" w:eastAsia="標楷體" w:hAnsi="標楷體"/>
                <w:color w:val="000000"/>
                <w:sz w:val="24"/>
                <w:szCs w:val="24"/>
              </w:rPr>
            </w:pPr>
            <w:r w:rsidRPr="002706C6">
              <w:rPr>
                <w:rFonts w:ascii="標楷體" w:eastAsia="標楷體" w:hAnsi="標楷體" w:hint="eastAsia"/>
                <w:color w:val="000000"/>
                <w:sz w:val="24"/>
                <w:szCs w:val="24"/>
              </w:rPr>
              <w:t>本原則所稱當事人之關係人，其範圍如下：</w:t>
            </w:r>
          </w:p>
          <w:p w:rsidR="00514A4A" w:rsidRDefault="00514A4A" w:rsidP="00514A4A">
            <w:pPr>
              <w:numPr>
                <w:ilvl w:val="0"/>
                <w:numId w:val="2"/>
              </w:numPr>
              <w:tabs>
                <w:tab w:val="left" w:pos="1260"/>
              </w:tabs>
              <w:ind w:firstLine="285"/>
              <w:jc w:val="both"/>
              <w:rPr>
                <w:rFonts w:ascii="標楷體" w:eastAsia="標楷體" w:hAnsi="標楷體"/>
                <w:color w:val="000000"/>
                <w:sz w:val="24"/>
                <w:szCs w:val="24"/>
              </w:rPr>
            </w:pPr>
            <w:r w:rsidRPr="002706C6">
              <w:rPr>
                <w:rFonts w:ascii="標楷體" w:eastAsia="標楷體" w:hAnsi="標楷體" w:hint="eastAsia"/>
                <w:color w:val="000000"/>
                <w:sz w:val="24"/>
                <w:szCs w:val="24"/>
              </w:rPr>
              <w:t>當事人之配偶或共同生活之家屬。</w:t>
            </w:r>
          </w:p>
          <w:p w:rsidR="00514A4A" w:rsidRDefault="00514A4A" w:rsidP="00514A4A">
            <w:pPr>
              <w:numPr>
                <w:ilvl w:val="0"/>
                <w:numId w:val="2"/>
              </w:numPr>
              <w:tabs>
                <w:tab w:val="left" w:pos="1260"/>
              </w:tabs>
              <w:ind w:firstLine="285"/>
              <w:jc w:val="both"/>
              <w:rPr>
                <w:rFonts w:ascii="標楷體" w:eastAsia="標楷體" w:hAnsi="標楷體"/>
                <w:color w:val="000000"/>
                <w:sz w:val="24"/>
                <w:szCs w:val="24"/>
              </w:rPr>
            </w:pPr>
            <w:r w:rsidRPr="002706C6">
              <w:rPr>
                <w:rFonts w:ascii="標楷體" w:eastAsia="標楷體" w:hAnsi="標楷體" w:hint="eastAsia"/>
                <w:color w:val="000000"/>
                <w:sz w:val="24"/>
                <w:szCs w:val="24"/>
              </w:rPr>
              <w:t>當事人之二親等以內親屬。</w:t>
            </w:r>
          </w:p>
          <w:p w:rsidR="00514A4A" w:rsidRDefault="00514A4A" w:rsidP="00514A4A">
            <w:pPr>
              <w:numPr>
                <w:ilvl w:val="0"/>
                <w:numId w:val="2"/>
              </w:numPr>
              <w:tabs>
                <w:tab w:val="left" w:pos="1260"/>
              </w:tabs>
              <w:ind w:firstLine="285"/>
              <w:jc w:val="both"/>
              <w:rPr>
                <w:rFonts w:ascii="標楷體" w:eastAsia="標楷體" w:hAnsi="標楷體"/>
                <w:color w:val="000000"/>
                <w:sz w:val="24"/>
                <w:szCs w:val="24"/>
              </w:rPr>
            </w:pPr>
            <w:r w:rsidRPr="002706C6">
              <w:rPr>
                <w:rFonts w:ascii="標楷體" w:eastAsia="標楷體" w:hAnsi="標楷體" w:hint="eastAsia"/>
                <w:color w:val="000000"/>
                <w:sz w:val="24"/>
                <w:szCs w:val="24"/>
              </w:rPr>
              <w:t>當事人或其配偶信託財產之受託人。</w:t>
            </w:r>
          </w:p>
          <w:p w:rsidR="00514A4A" w:rsidRPr="002706C6" w:rsidRDefault="00514A4A" w:rsidP="00514A4A">
            <w:pPr>
              <w:numPr>
                <w:ilvl w:val="0"/>
                <w:numId w:val="2"/>
              </w:numPr>
              <w:tabs>
                <w:tab w:val="clear" w:pos="435"/>
                <w:tab w:val="left" w:pos="1260"/>
                <w:tab w:val="num" w:pos="1440"/>
              </w:tabs>
              <w:ind w:left="1440" w:hanging="720"/>
              <w:jc w:val="both"/>
              <w:rPr>
                <w:rFonts w:ascii="標楷體" w:eastAsia="標楷體" w:hAnsi="標楷體"/>
                <w:color w:val="000000"/>
                <w:sz w:val="24"/>
                <w:szCs w:val="24"/>
              </w:rPr>
            </w:pPr>
            <w:r w:rsidRPr="002706C6">
              <w:rPr>
                <w:rFonts w:ascii="標楷體" w:eastAsia="標楷體" w:hAnsi="標楷體" w:hint="eastAsia"/>
                <w:sz w:val="24"/>
                <w:szCs w:val="24"/>
              </w:rPr>
              <w:t>由當事人、第一款及第二款所列人員擔任負責人、董事、監察人或經理人之本院科技移轉對象。但當事人擔任前述職務係經政府或本院指派時，應依其他法令規定辦理。</w:t>
            </w:r>
          </w:p>
        </w:tc>
      </w:tr>
      <w:tr w:rsidR="00514A4A" w:rsidRPr="002A2350" w:rsidTr="00EA4F31">
        <w:tc>
          <w:tcPr>
            <w:tcW w:w="8388" w:type="dxa"/>
          </w:tcPr>
          <w:p w:rsidR="00514A4A" w:rsidRPr="00D74BC8" w:rsidRDefault="00514A4A" w:rsidP="00514A4A">
            <w:pPr>
              <w:numPr>
                <w:ilvl w:val="0"/>
                <w:numId w:val="1"/>
              </w:numPr>
              <w:tabs>
                <w:tab w:val="left" w:pos="720"/>
              </w:tabs>
              <w:jc w:val="both"/>
              <w:rPr>
                <w:rFonts w:ascii="標楷體" w:eastAsia="標楷體" w:hAnsi="標楷體"/>
                <w:color w:val="000000"/>
                <w:sz w:val="24"/>
                <w:szCs w:val="24"/>
              </w:rPr>
            </w:pPr>
            <w:r w:rsidRPr="00D74BC8">
              <w:rPr>
                <w:rFonts w:ascii="標楷體" w:eastAsia="標楷體" w:hAnsi="標楷體" w:hint="eastAsia"/>
                <w:color w:val="000000"/>
                <w:sz w:val="24"/>
                <w:szCs w:val="24"/>
              </w:rPr>
              <w:t>本原則</w:t>
            </w:r>
            <w:r w:rsidRPr="00D74BC8">
              <w:rPr>
                <w:rFonts w:ascii="標楷體" w:eastAsia="標楷體" w:hAnsi="標楷體" w:hint="eastAsia"/>
                <w:sz w:val="24"/>
                <w:szCs w:val="24"/>
              </w:rPr>
              <w:t>所稱利益，包括財產上利益及非財產上利益。</w:t>
            </w:r>
          </w:p>
          <w:p w:rsidR="00514A4A" w:rsidRDefault="00514A4A" w:rsidP="00514A4A">
            <w:pPr>
              <w:tabs>
                <w:tab w:val="left" w:pos="720"/>
              </w:tabs>
              <w:ind w:firstLineChars="257" w:firstLine="617"/>
              <w:jc w:val="both"/>
              <w:rPr>
                <w:rFonts w:ascii="標楷體" w:eastAsia="標楷體" w:hAnsi="標楷體"/>
                <w:sz w:val="24"/>
                <w:szCs w:val="24"/>
              </w:rPr>
            </w:pPr>
            <w:r w:rsidRPr="00D74BC8">
              <w:rPr>
                <w:rFonts w:ascii="標楷體" w:eastAsia="標楷體" w:hAnsi="標楷體" w:hint="eastAsia"/>
                <w:sz w:val="24"/>
                <w:szCs w:val="24"/>
              </w:rPr>
              <w:t>財產上利益如下：</w:t>
            </w:r>
          </w:p>
          <w:p w:rsidR="00514A4A" w:rsidRPr="00D74BC8" w:rsidRDefault="00514A4A" w:rsidP="00514A4A">
            <w:pPr>
              <w:numPr>
                <w:ilvl w:val="0"/>
                <w:numId w:val="3"/>
              </w:numPr>
              <w:ind w:hanging="240"/>
              <w:jc w:val="both"/>
              <w:rPr>
                <w:rFonts w:ascii="標楷體" w:eastAsia="標楷體" w:hAnsi="標楷體"/>
                <w:sz w:val="24"/>
                <w:szCs w:val="24"/>
              </w:rPr>
            </w:pPr>
            <w:r w:rsidRPr="00D74BC8">
              <w:rPr>
                <w:rFonts w:ascii="標楷體" w:eastAsia="標楷體" w:hAnsi="標楷體" w:hint="eastAsia"/>
                <w:sz w:val="24"/>
                <w:szCs w:val="24"/>
              </w:rPr>
              <w:t>動產、不動產。</w:t>
            </w:r>
          </w:p>
          <w:p w:rsidR="00514A4A" w:rsidRPr="00D74BC8" w:rsidRDefault="00514A4A" w:rsidP="00514A4A">
            <w:pPr>
              <w:numPr>
                <w:ilvl w:val="0"/>
                <w:numId w:val="3"/>
              </w:numPr>
              <w:ind w:hanging="240"/>
              <w:jc w:val="both"/>
              <w:rPr>
                <w:rFonts w:ascii="標楷體" w:eastAsia="標楷體" w:hAnsi="標楷體"/>
                <w:sz w:val="24"/>
                <w:szCs w:val="24"/>
              </w:rPr>
            </w:pPr>
            <w:r w:rsidRPr="00D74BC8">
              <w:rPr>
                <w:rFonts w:ascii="標楷體" w:eastAsia="標楷體" w:hAnsi="標楷體" w:hint="eastAsia"/>
                <w:sz w:val="24"/>
                <w:szCs w:val="24"/>
              </w:rPr>
              <w:t>現金、存款、外幣</w:t>
            </w:r>
            <w:r w:rsidRPr="00D74BC8">
              <w:rPr>
                <w:rFonts w:ascii="標楷體" w:eastAsia="標楷體" w:hAnsi="標楷體" w:hint="eastAsia"/>
                <w:color w:val="000000"/>
                <w:sz w:val="24"/>
                <w:szCs w:val="24"/>
              </w:rPr>
              <w:t>及</w:t>
            </w:r>
            <w:r w:rsidRPr="00D74BC8">
              <w:rPr>
                <w:rFonts w:ascii="標楷體" w:eastAsia="標楷體" w:hAnsi="標楷體" w:hint="eastAsia"/>
                <w:sz w:val="24"/>
                <w:szCs w:val="24"/>
              </w:rPr>
              <w:t>有價證券。</w:t>
            </w:r>
          </w:p>
          <w:p w:rsidR="00514A4A" w:rsidRPr="00D74BC8" w:rsidRDefault="00514A4A" w:rsidP="00514A4A">
            <w:pPr>
              <w:numPr>
                <w:ilvl w:val="0"/>
                <w:numId w:val="3"/>
              </w:numPr>
              <w:ind w:hanging="240"/>
              <w:jc w:val="both"/>
              <w:rPr>
                <w:rFonts w:ascii="標楷體" w:eastAsia="標楷體" w:hAnsi="標楷體"/>
                <w:sz w:val="24"/>
                <w:szCs w:val="24"/>
              </w:rPr>
            </w:pPr>
            <w:r w:rsidRPr="00D74BC8">
              <w:rPr>
                <w:rFonts w:ascii="標楷體" w:eastAsia="標楷體" w:hAnsi="標楷體" w:hint="eastAsia"/>
                <w:sz w:val="24"/>
                <w:szCs w:val="24"/>
              </w:rPr>
              <w:t>債權或其他財產上權利。</w:t>
            </w:r>
          </w:p>
          <w:p w:rsidR="00514A4A" w:rsidRPr="00D74BC8" w:rsidRDefault="00514A4A" w:rsidP="00514A4A">
            <w:pPr>
              <w:numPr>
                <w:ilvl w:val="0"/>
                <w:numId w:val="3"/>
              </w:numPr>
              <w:ind w:hanging="240"/>
              <w:jc w:val="both"/>
              <w:rPr>
                <w:rFonts w:ascii="標楷體" w:eastAsia="標楷體" w:hAnsi="標楷體"/>
                <w:sz w:val="24"/>
                <w:szCs w:val="24"/>
              </w:rPr>
            </w:pPr>
            <w:r w:rsidRPr="00D74BC8">
              <w:rPr>
                <w:rFonts w:ascii="標楷體" w:eastAsia="標楷體" w:hAnsi="標楷體" w:hint="eastAsia"/>
                <w:sz w:val="24"/>
                <w:szCs w:val="24"/>
              </w:rPr>
              <w:t>其他具有經濟價值或得以金錢交易取得之利益。</w:t>
            </w:r>
          </w:p>
          <w:p w:rsidR="00514A4A" w:rsidRPr="00D74BC8" w:rsidRDefault="00514A4A" w:rsidP="00514A4A">
            <w:pPr>
              <w:tabs>
                <w:tab w:val="left" w:pos="720"/>
              </w:tabs>
              <w:ind w:leftChars="168" w:left="403" w:firstLineChars="64" w:firstLine="154"/>
              <w:jc w:val="both"/>
              <w:rPr>
                <w:rFonts w:ascii="標楷體" w:eastAsia="標楷體" w:hAnsi="標楷體"/>
                <w:color w:val="000000"/>
                <w:sz w:val="24"/>
                <w:szCs w:val="24"/>
              </w:rPr>
            </w:pPr>
            <w:r w:rsidRPr="00D74BC8">
              <w:rPr>
                <w:rFonts w:ascii="標楷體" w:eastAsia="標楷體" w:hAnsi="標楷體" w:hint="eastAsia"/>
                <w:sz w:val="24"/>
                <w:szCs w:val="24"/>
              </w:rPr>
              <w:t>非財產上利益，指當事人或其關係人於本院或承接本院科技移轉業者之任用、陞遷、調動及其他人事措施。</w:t>
            </w:r>
          </w:p>
        </w:tc>
      </w:tr>
      <w:tr w:rsidR="00514A4A" w:rsidRPr="002A2350" w:rsidTr="00EA4F31">
        <w:tc>
          <w:tcPr>
            <w:tcW w:w="8388" w:type="dxa"/>
          </w:tcPr>
          <w:p w:rsidR="00514A4A" w:rsidRPr="00AC633E" w:rsidRDefault="00514A4A" w:rsidP="00514A4A">
            <w:pPr>
              <w:numPr>
                <w:ilvl w:val="0"/>
                <w:numId w:val="1"/>
              </w:numPr>
              <w:tabs>
                <w:tab w:val="left" w:pos="720"/>
              </w:tabs>
              <w:jc w:val="both"/>
              <w:rPr>
                <w:rFonts w:ascii="標楷體" w:eastAsia="標楷體" w:hAnsi="標楷體"/>
                <w:color w:val="000000"/>
                <w:sz w:val="24"/>
                <w:szCs w:val="24"/>
              </w:rPr>
            </w:pPr>
            <w:r w:rsidRPr="00AC633E">
              <w:rPr>
                <w:rFonts w:ascii="標楷體" w:eastAsia="標楷體" w:hAnsi="標楷體" w:hint="eastAsia"/>
                <w:color w:val="000000"/>
                <w:sz w:val="24"/>
                <w:szCs w:val="24"/>
              </w:rPr>
              <w:t>本原則</w:t>
            </w:r>
            <w:r w:rsidRPr="00AC633E">
              <w:rPr>
                <w:rFonts w:ascii="標楷體" w:eastAsia="標楷體" w:hAnsi="標楷體" w:hint="eastAsia"/>
                <w:sz w:val="24"/>
                <w:szCs w:val="24"/>
              </w:rPr>
              <w:t>所稱利益衝突，指當事人執行科技移轉業務時，因其作為或不作為，直接或間接使本人或其關係人獲取利益者。</w:t>
            </w:r>
          </w:p>
        </w:tc>
      </w:tr>
      <w:tr w:rsidR="00514A4A" w:rsidRPr="002A2350" w:rsidTr="00EA4F31">
        <w:tc>
          <w:tcPr>
            <w:tcW w:w="8388" w:type="dxa"/>
          </w:tcPr>
          <w:p w:rsidR="00514A4A" w:rsidRDefault="00514A4A" w:rsidP="00514A4A">
            <w:pPr>
              <w:numPr>
                <w:ilvl w:val="0"/>
                <w:numId w:val="1"/>
              </w:numPr>
              <w:tabs>
                <w:tab w:val="left" w:pos="720"/>
              </w:tabs>
              <w:jc w:val="both"/>
              <w:rPr>
                <w:rFonts w:ascii="標楷體" w:eastAsia="標楷體" w:hAnsi="標楷體"/>
                <w:color w:val="000000"/>
                <w:sz w:val="24"/>
                <w:szCs w:val="24"/>
              </w:rPr>
            </w:pPr>
            <w:r w:rsidRPr="00443FFB">
              <w:rPr>
                <w:rFonts w:ascii="標楷體" w:eastAsia="標楷體" w:hAnsi="標楷體" w:hint="eastAsia"/>
                <w:color w:val="000000"/>
                <w:sz w:val="24"/>
                <w:szCs w:val="24"/>
              </w:rPr>
              <w:t>當事人執行科技移轉業務時，應揭露可能發生利益衝突之情事。</w:t>
            </w:r>
          </w:p>
          <w:p w:rsidR="00514A4A" w:rsidRPr="00443FFB" w:rsidRDefault="00514A4A" w:rsidP="00514A4A">
            <w:pPr>
              <w:ind w:left="540" w:firstLineChars="64" w:firstLine="154"/>
              <w:rPr>
                <w:rFonts w:ascii="標楷體" w:eastAsia="標楷體" w:hAnsi="標楷體"/>
                <w:sz w:val="24"/>
                <w:szCs w:val="24"/>
              </w:rPr>
            </w:pPr>
            <w:r w:rsidRPr="00443FFB">
              <w:rPr>
                <w:rFonts w:ascii="標楷體" w:eastAsia="標楷體" w:hAnsi="標楷體" w:hint="eastAsia"/>
                <w:sz w:val="24"/>
                <w:szCs w:val="24"/>
              </w:rPr>
              <w:t>前項應揭露之利益及揭露之方式，由研管會另訂之。</w:t>
            </w:r>
          </w:p>
          <w:p w:rsidR="00514A4A" w:rsidRPr="00443FFB" w:rsidRDefault="00514A4A" w:rsidP="00EA4F31">
            <w:pPr>
              <w:ind w:left="540"/>
              <w:rPr>
                <w:rFonts w:ascii="標楷體" w:eastAsia="標楷體" w:hAnsi="標楷體"/>
                <w:sz w:val="24"/>
                <w:szCs w:val="24"/>
              </w:rPr>
            </w:pPr>
            <w:r>
              <w:rPr>
                <w:rFonts w:ascii="標楷體" w:eastAsia="標楷體" w:hAnsi="標楷體" w:hint="eastAsia"/>
                <w:sz w:val="24"/>
                <w:szCs w:val="24"/>
              </w:rPr>
              <w:t xml:space="preserve"> </w:t>
            </w:r>
            <w:r w:rsidRPr="00443FFB">
              <w:rPr>
                <w:rFonts w:ascii="標楷體" w:eastAsia="標楷體" w:hAnsi="標楷體" w:hint="eastAsia"/>
                <w:sz w:val="24"/>
                <w:szCs w:val="24"/>
              </w:rPr>
              <w:t>當事人或其關係人遇有利益衝突之情事者，當事人應即自行迴避，或促請其關係人迴避。</w:t>
            </w:r>
          </w:p>
          <w:p w:rsidR="00514A4A" w:rsidRPr="00443FFB" w:rsidRDefault="00514A4A" w:rsidP="00EA4F31">
            <w:pPr>
              <w:ind w:left="540"/>
              <w:rPr>
                <w:rFonts w:ascii="標楷體" w:eastAsia="標楷體" w:hAnsi="標楷體"/>
                <w:sz w:val="24"/>
                <w:szCs w:val="24"/>
              </w:rPr>
            </w:pPr>
            <w:r w:rsidRPr="00443FFB">
              <w:rPr>
                <w:rFonts w:ascii="標楷體" w:eastAsia="標楷體" w:hAnsi="標楷體" w:hint="eastAsia"/>
                <w:sz w:val="24"/>
                <w:szCs w:val="24"/>
              </w:rPr>
              <w:t xml:space="preserve">　有以下情事者，經研管會認定有迴避之必要，應提出具體處理意見，陳報院長核定：</w:t>
            </w:r>
          </w:p>
          <w:p w:rsidR="00514A4A" w:rsidRDefault="00514A4A" w:rsidP="00514A4A">
            <w:pPr>
              <w:numPr>
                <w:ilvl w:val="0"/>
                <w:numId w:val="4"/>
              </w:numPr>
              <w:tabs>
                <w:tab w:val="clear" w:pos="435"/>
              </w:tabs>
              <w:ind w:left="1440" w:hanging="720"/>
              <w:rPr>
                <w:rFonts w:ascii="標楷體" w:eastAsia="標楷體" w:hAnsi="標楷體"/>
                <w:sz w:val="24"/>
                <w:szCs w:val="24"/>
              </w:rPr>
            </w:pPr>
            <w:r w:rsidRPr="00443FFB">
              <w:rPr>
                <w:rFonts w:ascii="標楷體" w:eastAsia="標楷體" w:hAnsi="標楷體" w:hint="eastAsia"/>
                <w:sz w:val="24"/>
                <w:szCs w:val="24"/>
              </w:rPr>
              <w:t>當事人知其本人或其關係人有涉及利益衝突之虞，向研管會核備並經認定應迴避者。</w:t>
            </w:r>
          </w:p>
          <w:p w:rsidR="00514A4A" w:rsidRPr="008E5947" w:rsidRDefault="00514A4A" w:rsidP="00514A4A">
            <w:pPr>
              <w:numPr>
                <w:ilvl w:val="0"/>
                <w:numId w:val="4"/>
              </w:numPr>
              <w:tabs>
                <w:tab w:val="clear" w:pos="435"/>
              </w:tabs>
              <w:ind w:left="1440" w:hanging="720"/>
              <w:rPr>
                <w:rFonts w:ascii="標楷體" w:eastAsia="標楷體" w:hAnsi="標楷體"/>
                <w:sz w:val="24"/>
                <w:szCs w:val="24"/>
              </w:rPr>
            </w:pPr>
            <w:r w:rsidRPr="00443FFB">
              <w:rPr>
                <w:rFonts w:ascii="標楷體" w:eastAsia="標楷體" w:hAnsi="標楷體" w:hint="eastAsia"/>
                <w:sz w:val="24"/>
                <w:szCs w:val="24"/>
              </w:rPr>
              <w:t>當事人未自行迴避或依前款規定向研管會核備，經研管會認定有迴避之必要者。</w:t>
            </w:r>
          </w:p>
        </w:tc>
      </w:tr>
      <w:tr w:rsidR="00514A4A" w:rsidRPr="002A2350" w:rsidTr="00EA4F31">
        <w:tc>
          <w:tcPr>
            <w:tcW w:w="8388" w:type="dxa"/>
          </w:tcPr>
          <w:p w:rsidR="00514A4A" w:rsidRPr="00D87149" w:rsidRDefault="00514A4A" w:rsidP="00514A4A">
            <w:pPr>
              <w:numPr>
                <w:ilvl w:val="0"/>
                <w:numId w:val="1"/>
              </w:numPr>
              <w:tabs>
                <w:tab w:val="left" w:pos="720"/>
              </w:tabs>
              <w:rPr>
                <w:rFonts w:ascii="標楷體" w:eastAsia="標楷體" w:hAnsi="標楷體"/>
                <w:color w:val="000000"/>
                <w:sz w:val="24"/>
                <w:szCs w:val="24"/>
              </w:rPr>
            </w:pPr>
            <w:r w:rsidRPr="00D87149">
              <w:rPr>
                <w:rFonts w:ascii="標楷體" w:eastAsia="標楷體" w:hAnsi="標楷體" w:hint="eastAsia"/>
                <w:color w:val="000000"/>
                <w:sz w:val="24"/>
                <w:szCs w:val="24"/>
              </w:rPr>
              <w:t>除法令另有規定、契約另有約定或經本院</w:t>
            </w:r>
            <w:r w:rsidRPr="00D87149">
              <w:rPr>
                <w:rFonts w:ascii="標楷體" w:eastAsia="標楷體" w:hAnsi="標楷體" w:hint="eastAsia"/>
                <w:sz w:val="24"/>
                <w:szCs w:val="24"/>
              </w:rPr>
              <w:t>研管會</w:t>
            </w:r>
            <w:r w:rsidRPr="00D87149">
              <w:rPr>
                <w:rFonts w:ascii="標楷體" w:eastAsia="標楷體" w:hAnsi="標楷體" w:hint="eastAsia"/>
                <w:color w:val="000000"/>
                <w:sz w:val="24"/>
                <w:szCs w:val="24"/>
              </w:rPr>
              <w:t>同意外，當事人或其關係人不得將本院科技研發成果自行提供予業者或參與籌設營利事業。</w:t>
            </w:r>
          </w:p>
        </w:tc>
      </w:tr>
      <w:tr w:rsidR="00514A4A" w:rsidRPr="002A2350" w:rsidTr="00EA4F31">
        <w:tc>
          <w:tcPr>
            <w:tcW w:w="8388" w:type="dxa"/>
          </w:tcPr>
          <w:p w:rsidR="00514A4A" w:rsidRPr="00D87149" w:rsidRDefault="00514A4A" w:rsidP="00514A4A">
            <w:pPr>
              <w:numPr>
                <w:ilvl w:val="0"/>
                <w:numId w:val="1"/>
              </w:numPr>
              <w:tabs>
                <w:tab w:val="left" w:pos="720"/>
              </w:tabs>
              <w:rPr>
                <w:rFonts w:ascii="標楷體" w:eastAsia="標楷體" w:hAnsi="標楷體"/>
                <w:color w:val="000000"/>
                <w:sz w:val="24"/>
                <w:szCs w:val="24"/>
              </w:rPr>
            </w:pPr>
            <w:r w:rsidRPr="00D87149">
              <w:rPr>
                <w:rFonts w:ascii="標楷體" w:eastAsia="標楷體" w:hAnsi="標楷體" w:hint="eastAsia"/>
                <w:color w:val="000000"/>
                <w:sz w:val="24"/>
                <w:szCs w:val="24"/>
              </w:rPr>
              <w:lastRenderedPageBreak/>
              <w:t>承辦及決行科技移轉之當事人及其關係人，於科技移轉契約訂定</w:t>
            </w:r>
            <w:r w:rsidRPr="00D87149">
              <w:rPr>
                <w:rFonts w:ascii="標楷體" w:eastAsia="標楷體" w:hAnsi="標楷體" w:hint="eastAsia"/>
                <w:sz w:val="24"/>
                <w:szCs w:val="24"/>
              </w:rPr>
              <w:t>後二</w:t>
            </w:r>
            <w:r w:rsidRPr="00D87149">
              <w:rPr>
                <w:rFonts w:ascii="標楷體" w:eastAsia="標楷體" w:hAnsi="標楷體" w:hint="eastAsia"/>
                <w:color w:val="000000"/>
                <w:sz w:val="24"/>
                <w:szCs w:val="24"/>
              </w:rPr>
              <w:t>年內，不得投資該接受科技移轉之業者。但該接受科技移轉之業者已上市或上櫃者，不在此限。</w:t>
            </w:r>
          </w:p>
        </w:tc>
      </w:tr>
      <w:tr w:rsidR="00514A4A" w:rsidRPr="002A2350" w:rsidTr="00EA4F31">
        <w:tc>
          <w:tcPr>
            <w:tcW w:w="8388" w:type="dxa"/>
          </w:tcPr>
          <w:p w:rsidR="00514A4A" w:rsidRPr="00231E89" w:rsidRDefault="00514A4A" w:rsidP="00514A4A">
            <w:pPr>
              <w:numPr>
                <w:ilvl w:val="0"/>
                <w:numId w:val="1"/>
              </w:numPr>
              <w:tabs>
                <w:tab w:val="left" w:pos="720"/>
              </w:tabs>
              <w:rPr>
                <w:rFonts w:ascii="標楷體" w:eastAsia="標楷體" w:hAnsi="標楷體"/>
                <w:color w:val="000000"/>
                <w:sz w:val="24"/>
                <w:szCs w:val="24"/>
              </w:rPr>
            </w:pPr>
            <w:r w:rsidRPr="00231E89">
              <w:rPr>
                <w:rFonts w:ascii="標楷體" w:eastAsia="標楷體" w:hAnsi="標楷體" w:hint="eastAsia"/>
                <w:color w:val="000000"/>
                <w:sz w:val="24"/>
                <w:szCs w:val="24"/>
              </w:rPr>
              <w:t>本原則經院務會議通過，</w:t>
            </w:r>
            <w:r w:rsidRPr="00231E89">
              <w:rPr>
                <w:rFonts w:ascii="標楷體" w:eastAsia="標楷體" w:hAnsi="標楷體" w:hint="eastAsia"/>
                <w:sz w:val="24"/>
                <w:szCs w:val="24"/>
              </w:rPr>
              <w:t>院長發布後實施，修正時亦同。</w:t>
            </w:r>
          </w:p>
        </w:tc>
      </w:tr>
    </w:tbl>
    <w:p w:rsidR="00514A4A" w:rsidRPr="002A2350" w:rsidRDefault="00514A4A" w:rsidP="00514A4A"/>
    <w:p w:rsidR="00FE24BA" w:rsidRPr="00514A4A" w:rsidRDefault="00FE24BA" w:rsidP="00A27AAA">
      <w:pPr>
        <w:ind w:leftChars="-295" w:left="-708"/>
        <w:rPr>
          <w:rFonts w:ascii="標楷體" w:eastAsia="標楷體" w:hAnsi="標楷體"/>
          <w:sz w:val="28"/>
          <w:szCs w:val="28"/>
        </w:rPr>
      </w:pPr>
    </w:p>
    <w:sectPr w:rsidR="00FE24BA" w:rsidRPr="00514A4A" w:rsidSect="00A27AAA">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2A" w:rsidRDefault="0040462A" w:rsidP="00B90813">
      <w:r>
        <w:separator/>
      </w:r>
    </w:p>
  </w:endnote>
  <w:endnote w:type="continuationSeparator" w:id="0">
    <w:p w:rsidR="0040462A" w:rsidRDefault="0040462A" w:rsidP="00B9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iddenHorzOCR">
    <w:altName w:val="MS Mincho"/>
    <w:panose1 w:val="00000000000000000000"/>
    <w:charset w:val="80"/>
    <w:family w:val="auto"/>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2A" w:rsidRDefault="0040462A" w:rsidP="00B90813">
      <w:r>
        <w:separator/>
      </w:r>
    </w:p>
  </w:footnote>
  <w:footnote w:type="continuationSeparator" w:id="0">
    <w:p w:rsidR="0040462A" w:rsidRDefault="0040462A" w:rsidP="00B9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772B"/>
    <w:multiLevelType w:val="hybridMultilevel"/>
    <w:tmpl w:val="FE7A3508"/>
    <w:lvl w:ilvl="0" w:tplc="A63863AA">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1A1F6F"/>
    <w:multiLevelType w:val="hybridMultilevel"/>
    <w:tmpl w:val="52143002"/>
    <w:lvl w:ilvl="0" w:tplc="008A266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679D3D86"/>
    <w:multiLevelType w:val="hybridMultilevel"/>
    <w:tmpl w:val="FFA27734"/>
    <w:lvl w:ilvl="0" w:tplc="A63863AA">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99C47E2"/>
    <w:multiLevelType w:val="hybridMultilevel"/>
    <w:tmpl w:val="05CCBFD8"/>
    <w:lvl w:ilvl="0" w:tplc="4800BE80">
      <w:start w:val="1"/>
      <w:numFmt w:val="taiwaneseCountingThousand"/>
      <w:lvlText w:val="%1、"/>
      <w:lvlJc w:val="left"/>
      <w:pPr>
        <w:tabs>
          <w:tab w:val="num" w:pos="480"/>
        </w:tabs>
        <w:ind w:left="480" w:hanging="480"/>
      </w:pPr>
      <w:rPr>
        <w:rFonts w:ascii="Bernard MT Condensed" w:hAnsi="Bernard MT Condensed" w:cs="Bernard MT Condensed" w:hint="default"/>
        <w:sz w:val="24"/>
        <w:szCs w:val="24"/>
      </w:rPr>
    </w:lvl>
    <w:lvl w:ilvl="1" w:tplc="40124040">
      <w:start w:val="1"/>
      <w:numFmt w:val="taiwaneseCountingThousand"/>
      <w:lvlText w:val="（%2）"/>
      <w:lvlJc w:val="left"/>
      <w:pPr>
        <w:tabs>
          <w:tab w:val="num" w:pos="1200"/>
        </w:tabs>
        <w:ind w:left="1200" w:hanging="720"/>
      </w:pPr>
      <w:rPr>
        <w:rFont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D8"/>
    <w:rsid w:val="00082DD8"/>
    <w:rsid w:val="001E4A76"/>
    <w:rsid w:val="0022103B"/>
    <w:rsid w:val="0040462A"/>
    <w:rsid w:val="00446DFA"/>
    <w:rsid w:val="00514A4A"/>
    <w:rsid w:val="00633849"/>
    <w:rsid w:val="00651868"/>
    <w:rsid w:val="00A27AAA"/>
    <w:rsid w:val="00B90813"/>
    <w:rsid w:val="00F03FFD"/>
    <w:rsid w:val="00FE2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813"/>
    <w:pPr>
      <w:tabs>
        <w:tab w:val="center" w:pos="4153"/>
        <w:tab w:val="right" w:pos="8306"/>
      </w:tabs>
      <w:snapToGrid w:val="0"/>
    </w:pPr>
    <w:rPr>
      <w:sz w:val="20"/>
      <w:szCs w:val="20"/>
    </w:rPr>
  </w:style>
  <w:style w:type="character" w:customStyle="1" w:styleId="a4">
    <w:name w:val="頁首 字元"/>
    <w:basedOn w:val="a0"/>
    <w:link w:val="a3"/>
    <w:uiPriority w:val="99"/>
    <w:rsid w:val="00B90813"/>
    <w:rPr>
      <w:sz w:val="20"/>
      <w:szCs w:val="20"/>
    </w:rPr>
  </w:style>
  <w:style w:type="paragraph" w:styleId="a5">
    <w:name w:val="footer"/>
    <w:basedOn w:val="a"/>
    <w:link w:val="a6"/>
    <w:uiPriority w:val="99"/>
    <w:unhideWhenUsed/>
    <w:rsid w:val="00B90813"/>
    <w:pPr>
      <w:tabs>
        <w:tab w:val="center" w:pos="4153"/>
        <w:tab w:val="right" w:pos="8306"/>
      </w:tabs>
      <w:snapToGrid w:val="0"/>
    </w:pPr>
    <w:rPr>
      <w:sz w:val="20"/>
      <w:szCs w:val="20"/>
    </w:rPr>
  </w:style>
  <w:style w:type="character" w:customStyle="1" w:styleId="a6">
    <w:name w:val="頁尾 字元"/>
    <w:basedOn w:val="a0"/>
    <w:link w:val="a5"/>
    <w:uiPriority w:val="99"/>
    <w:rsid w:val="00B90813"/>
    <w:rPr>
      <w:sz w:val="20"/>
      <w:szCs w:val="20"/>
    </w:rPr>
  </w:style>
  <w:style w:type="table" w:styleId="a7">
    <w:name w:val="Table Grid"/>
    <w:basedOn w:val="a1"/>
    <w:rsid w:val="00514A4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813"/>
    <w:pPr>
      <w:tabs>
        <w:tab w:val="center" w:pos="4153"/>
        <w:tab w:val="right" w:pos="8306"/>
      </w:tabs>
      <w:snapToGrid w:val="0"/>
    </w:pPr>
    <w:rPr>
      <w:sz w:val="20"/>
      <w:szCs w:val="20"/>
    </w:rPr>
  </w:style>
  <w:style w:type="character" w:customStyle="1" w:styleId="a4">
    <w:name w:val="頁首 字元"/>
    <w:basedOn w:val="a0"/>
    <w:link w:val="a3"/>
    <w:uiPriority w:val="99"/>
    <w:rsid w:val="00B90813"/>
    <w:rPr>
      <w:sz w:val="20"/>
      <w:szCs w:val="20"/>
    </w:rPr>
  </w:style>
  <w:style w:type="paragraph" w:styleId="a5">
    <w:name w:val="footer"/>
    <w:basedOn w:val="a"/>
    <w:link w:val="a6"/>
    <w:uiPriority w:val="99"/>
    <w:unhideWhenUsed/>
    <w:rsid w:val="00B90813"/>
    <w:pPr>
      <w:tabs>
        <w:tab w:val="center" w:pos="4153"/>
        <w:tab w:val="right" w:pos="8306"/>
      </w:tabs>
      <w:snapToGrid w:val="0"/>
    </w:pPr>
    <w:rPr>
      <w:sz w:val="20"/>
      <w:szCs w:val="20"/>
    </w:rPr>
  </w:style>
  <w:style w:type="character" w:customStyle="1" w:styleId="a6">
    <w:name w:val="頁尾 字元"/>
    <w:basedOn w:val="a0"/>
    <w:link w:val="a5"/>
    <w:uiPriority w:val="99"/>
    <w:rsid w:val="00B90813"/>
    <w:rPr>
      <w:sz w:val="20"/>
      <w:szCs w:val="20"/>
    </w:rPr>
  </w:style>
  <w:style w:type="table" w:styleId="a7">
    <w:name w:val="Table Grid"/>
    <w:basedOn w:val="a1"/>
    <w:rsid w:val="00514A4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6FE7-E574-492F-8258-C973448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Livia</cp:lastModifiedBy>
  <cp:revision>2</cp:revision>
  <dcterms:created xsi:type="dcterms:W3CDTF">2014-12-05T07:43:00Z</dcterms:created>
  <dcterms:modified xsi:type="dcterms:W3CDTF">2014-12-05T07:43:00Z</dcterms:modified>
</cp:coreProperties>
</file>